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1C" w:rsidRPr="0049205D" w:rsidRDefault="001E60A7">
      <w:pPr>
        <w:rPr>
          <w:rFonts w:cstheme="minorHAnsi"/>
        </w:rPr>
      </w:pPr>
      <w:r w:rsidRPr="0049205D">
        <w:rPr>
          <w:rFonts w:cstheme="minorHAnsi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533E589" wp14:editId="62F9A21E">
            <wp:simplePos x="0" y="0"/>
            <wp:positionH relativeFrom="page">
              <wp:posOffset>28575</wp:posOffset>
            </wp:positionH>
            <wp:positionV relativeFrom="paragraph">
              <wp:posOffset>-195580</wp:posOffset>
            </wp:positionV>
            <wp:extent cx="7287426" cy="2052293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TAMAÑO CARTA VERTIC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2"/>
                    <a:stretch/>
                  </pic:blipFill>
                  <pic:spPr bwMode="auto">
                    <a:xfrm>
                      <a:off x="0" y="0"/>
                      <a:ext cx="7318402" cy="206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tabs>
          <w:tab w:val="left" w:pos="2910"/>
        </w:tabs>
        <w:spacing w:after="0" w:line="240" w:lineRule="auto"/>
        <w:contextualSpacing/>
        <w:rPr>
          <w:rFonts w:cstheme="minorHAnsi"/>
          <w:b/>
        </w:rPr>
      </w:pPr>
      <w:r w:rsidRPr="0049205D">
        <w:rPr>
          <w:rFonts w:cstheme="minorHAnsi"/>
          <w:b/>
        </w:rPr>
        <w:tab/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C740D5" w:rsidRDefault="00C740D5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994C27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LISTADO DE ORGANIZACIONES SELECCIONADAS</w:t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 w:rsidRPr="0049205D">
        <w:rPr>
          <w:rFonts w:cstheme="minorHAnsi"/>
          <w:b/>
        </w:rPr>
        <w:t xml:space="preserve"> APOYO FINANCIERO A TERCEROS</w:t>
      </w:r>
    </w:p>
    <w:p w:rsidR="00816F1C" w:rsidRPr="0049205D" w:rsidRDefault="00816F1C" w:rsidP="00816F1C">
      <w:pPr>
        <w:spacing w:after="0" w:line="240" w:lineRule="auto"/>
        <w:jc w:val="center"/>
        <w:rPr>
          <w:rFonts w:cstheme="minorHAnsi"/>
        </w:rPr>
      </w:pPr>
      <w:r w:rsidRPr="0049205D">
        <w:rPr>
          <w:rFonts w:cstheme="minorHAnsi"/>
        </w:rPr>
        <w:t>(REEMBOLSO DE COSTOS REALMENTE INCURRIDOS)</w:t>
      </w:r>
    </w:p>
    <w:p w:rsidR="00816F1C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C740D5" w:rsidRPr="0049205D" w:rsidRDefault="00C740D5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tabs>
          <w:tab w:val="left" w:pos="3075"/>
        </w:tabs>
        <w:spacing w:after="0" w:line="240" w:lineRule="auto"/>
        <w:contextualSpacing/>
        <w:rPr>
          <w:rFonts w:cstheme="minorHAnsi"/>
          <w:b/>
        </w:rPr>
      </w:pPr>
      <w:r w:rsidRPr="0049205D">
        <w:rPr>
          <w:rFonts w:cstheme="minorHAnsi"/>
          <w:b/>
        </w:rPr>
        <w:tab/>
      </w:r>
    </w:p>
    <w:p w:rsidR="00816F1C" w:rsidRPr="0049205D" w:rsidRDefault="00816F1C" w:rsidP="00816F1C">
      <w:pPr>
        <w:tabs>
          <w:tab w:val="left" w:pos="3075"/>
        </w:tabs>
        <w:spacing w:after="0" w:line="240" w:lineRule="auto"/>
        <w:contextualSpacing/>
        <w:rPr>
          <w:rFonts w:cstheme="minorHAnsi"/>
          <w:b/>
        </w:rPr>
      </w:pPr>
    </w:p>
    <w:p w:rsidR="00816F1C" w:rsidRPr="0049205D" w:rsidRDefault="00816F1C" w:rsidP="00816F1C">
      <w:pPr>
        <w:tabs>
          <w:tab w:val="left" w:pos="3075"/>
        </w:tabs>
        <w:spacing w:after="0" w:line="240" w:lineRule="auto"/>
        <w:contextualSpacing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 w:rsidRPr="0049205D">
        <w:rPr>
          <w:rFonts w:cstheme="minorHAnsi"/>
          <w:b/>
        </w:rPr>
        <w:t>Línea Temática</w:t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 w:rsidRPr="0049205D">
        <w:rPr>
          <w:rFonts w:cstheme="minorHAnsi"/>
          <w:b/>
        </w:rPr>
        <w:t>Organizaciones de la Sociedad Civil para la Construcción de Paz y Desarrollo en Colombia</w:t>
      </w:r>
    </w:p>
    <w:p w:rsidR="00816F1C" w:rsidRPr="0049205D" w:rsidRDefault="00816F1C" w:rsidP="00816F1C">
      <w:pPr>
        <w:tabs>
          <w:tab w:val="left" w:pos="7455"/>
        </w:tabs>
        <w:spacing w:after="0" w:line="240" w:lineRule="auto"/>
        <w:contextualSpacing/>
        <w:rPr>
          <w:rFonts w:cstheme="minorHAnsi"/>
          <w:b/>
        </w:rPr>
      </w:pPr>
      <w:r w:rsidRPr="0049205D">
        <w:rPr>
          <w:rFonts w:cstheme="minorHAnsi"/>
          <w:b/>
        </w:rPr>
        <w:tab/>
      </w:r>
    </w:p>
    <w:p w:rsidR="00816F1C" w:rsidRPr="0049205D" w:rsidRDefault="00816F1C" w:rsidP="00816F1C">
      <w:pPr>
        <w:spacing w:after="0" w:line="240" w:lineRule="auto"/>
        <w:contextualSpacing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rPr>
          <w:rFonts w:cstheme="minorHAnsi"/>
          <w:b/>
        </w:rPr>
      </w:pPr>
    </w:p>
    <w:p w:rsidR="00C740D5" w:rsidRDefault="00C740D5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 w:rsidRPr="0049205D">
        <w:rPr>
          <w:rFonts w:cstheme="minorHAnsi"/>
          <w:b/>
        </w:rPr>
        <w:t>Proyecto</w:t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 w:rsidRPr="0049205D">
        <w:rPr>
          <w:rFonts w:cstheme="minorHAnsi"/>
          <w:b/>
        </w:rPr>
        <w:t xml:space="preserve">“Fomento de estrategias de inclusión socioeconómica dirigidas a jóvenes en 5 municipios del Sur de Bolívar – Jóvenes Rurales”. </w:t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 w:rsidRPr="0049205D">
        <w:rPr>
          <w:rFonts w:cstheme="minorHAnsi"/>
          <w:b/>
        </w:rPr>
        <w:t>Contrato de Subvención Acciones Exteriores de la Unión Europea CSO-LA/2017/398-808</w:t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180115" w:rsidP="00816F1C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Octubre</w:t>
      </w:r>
      <w:r w:rsidR="00785A99">
        <w:rPr>
          <w:rFonts w:cstheme="minorHAnsi"/>
          <w:b/>
        </w:rPr>
        <w:t xml:space="preserve"> </w:t>
      </w:r>
      <w:r w:rsidR="00816F1C" w:rsidRPr="0049205D">
        <w:rPr>
          <w:rFonts w:cstheme="minorHAnsi"/>
          <w:b/>
        </w:rPr>
        <w:t>de 2019</w:t>
      </w: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816F1C" w:rsidRPr="0049205D" w:rsidRDefault="00816F1C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C740D5" w:rsidRDefault="00C740D5" w:rsidP="00816F1C">
      <w:pPr>
        <w:spacing w:after="0" w:line="240" w:lineRule="auto"/>
        <w:jc w:val="both"/>
        <w:rPr>
          <w:rFonts w:cstheme="minorHAnsi"/>
        </w:rPr>
      </w:pPr>
    </w:p>
    <w:p w:rsidR="00816F1C" w:rsidRPr="0049205D" w:rsidRDefault="00816F1C" w:rsidP="00816F1C">
      <w:pPr>
        <w:spacing w:after="0" w:line="240" w:lineRule="auto"/>
        <w:jc w:val="both"/>
        <w:rPr>
          <w:rFonts w:cstheme="minorHAnsi"/>
        </w:rPr>
      </w:pPr>
      <w:r w:rsidRPr="0049205D">
        <w:rPr>
          <w:rFonts w:cstheme="minorHAnsi"/>
        </w:rPr>
        <w:lastRenderedPageBreak/>
        <w:t>En el marco Línea temática Organizaciones de la Sociedad Civil para la Construcción de Paz y Desarrollo en Colombia, la Unión Europea, mediante el Contrato CSO-LA/2017/393-808, concede a dos organizaciones socias: Movimiento</w:t>
      </w:r>
      <w:r w:rsidR="00AB39D1">
        <w:rPr>
          <w:rFonts w:cstheme="minorHAnsi"/>
        </w:rPr>
        <w:t xml:space="preserve"> por la Paz</w:t>
      </w:r>
      <w:r w:rsidRPr="0049205D">
        <w:rPr>
          <w:rFonts w:cstheme="minorHAnsi"/>
        </w:rPr>
        <w:t xml:space="preserve"> (MPDL) y la Fundación Hogar Juvenil (FHJ), el proyecto “Fomento de estrategias de inclusión socioeconómica dirigidas a jóvenes en 5 municipios del Sur de Bolívar”- Jóvenes Rurales- que tiene como objeto promover el desarrollo sostenible y la mejora de las condiciones de vida de los y las jóvenes rurales del Sur de Bolívar para la construcción de paz territorial.</w:t>
      </w:r>
    </w:p>
    <w:p w:rsidR="00816F1C" w:rsidRDefault="00816F1C" w:rsidP="00816F1C">
      <w:pPr>
        <w:spacing w:after="0" w:line="240" w:lineRule="auto"/>
        <w:jc w:val="both"/>
        <w:rPr>
          <w:rFonts w:cstheme="minorHAnsi"/>
        </w:rPr>
      </w:pPr>
      <w:r w:rsidRPr="0049205D">
        <w:rPr>
          <w:rFonts w:cstheme="minorHAnsi"/>
        </w:rPr>
        <w:t>Para seleccionar las organizaciones beneficiarias se ha realizado una Convocatoria Abierta denominada “Apoyo Financiero a Terceros</w:t>
      </w:r>
      <w:r w:rsidR="00994C27">
        <w:rPr>
          <w:rFonts w:cstheme="minorHAnsi"/>
        </w:rPr>
        <w:t>”; proceso que ha</w:t>
      </w:r>
      <w:r w:rsidR="00C47FB5">
        <w:rPr>
          <w:rFonts w:cstheme="minorHAnsi"/>
        </w:rPr>
        <w:t xml:space="preserve"> constado de </w:t>
      </w:r>
      <w:r w:rsidR="00F763EA">
        <w:rPr>
          <w:rFonts w:cstheme="minorHAnsi"/>
        </w:rPr>
        <w:t>5</w:t>
      </w:r>
      <w:r w:rsidR="00C47FB5">
        <w:rPr>
          <w:rFonts w:cstheme="minorHAnsi"/>
        </w:rPr>
        <w:t xml:space="preserve"> fases:</w:t>
      </w:r>
    </w:p>
    <w:p w:rsidR="00F763EA" w:rsidRDefault="00F763EA" w:rsidP="00816F1C">
      <w:pPr>
        <w:spacing w:after="0" w:line="240" w:lineRule="auto"/>
        <w:jc w:val="both"/>
        <w:rPr>
          <w:rFonts w:cstheme="minorHAnsi"/>
        </w:rPr>
      </w:pPr>
    </w:p>
    <w:p w:rsidR="00C47FB5" w:rsidRPr="00C47FB5" w:rsidRDefault="001F5C79" w:rsidP="00C47FB5">
      <w:pPr>
        <w:pStyle w:val="Prrafodelista"/>
        <w:numPr>
          <w:ilvl w:val="0"/>
          <w:numId w:val="10"/>
        </w:numPr>
        <w:spacing w:after="0"/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</w:pP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Publicación</w:t>
      </w:r>
      <w:r w:rsidR="00C47FB5"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 xml:space="preserve"> de convocatoria</w:t>
      </w:r>
    </w:p>
    <w:p w:rsidR="00C47FB5" w:rsidRPr="00C47FB5" w:rsidRDefault="001F5C79" w:rsidP="00C47FB5">
      <w:pPr>
        <w:pStyle w:val="Prrafodelista"/>
        <w:numPr>
          <w:ilvl w:val="0"/>
          <w:numId w:val="10"/>
        </w:numPr>
        <w:spacing w:after="0"/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</w:pP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Recepción</w:t>
      </w:r>
      <w:r w:rsidR="00C47FB5"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 xml:space="preserve"> de</w:t>
      </w:r>
      <w:r w:rsid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 xml:space="preserve"> </w:t>
      </w:r>
      <w:r w:rsidR="00C47FB5"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propuestas</w:t>
      </w:r>
    </w:p>
    <w:p w:rsidR="00C47FB5" w:rsidRPr="00C47FB5" w:rsidRDefault="001F5C79" w:rsidP="00C47FB5">
      <w:pPr>
        <w:pStyle w:val="Prrafodelista"/>
        <w:numPr>
          <w:ilvl w:val="0"/>
          <w:numId w:val="10"/>
        </w:numPr>
        <w:spacing w:after="0"/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</w:pP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Revi</w:t>
      </w:r>
      <w:r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si</w:t>
      </w: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ón</w:t>
      </w:r>
      <w:r w:rsidR="00C47FB5"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 xml:space="preserve"> administrativa</w:t>
      </w:r>
    </w:p>
    <w:p w:rsidR="00C47FB5" w:rsidRPr="00C47FB5" w:rsidRDefault="001F5C79" w:rsidP="00C47FB5">
      <w:pPr>
        <w:pStyle w:val="Prrafodelista"/>
        <w:numPr>
          <w:ilvl w:val="0"/>
          <w:numId w:val="10"/>
        </w:numPr>
        <w:spacing w:after="0"/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</w:pP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Revisión</w:t>
      </w:r>
      <w:r w:rsidR="00C47FB5"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 xml:space="preserve"> </w:t>
      </w: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Técnica</w:t>
      </w:r>
    </w:p>
    <w:p w:rsidR="00C47FB5" w:rsidRPr="00C47FB5" w:rsidRDefault="00C47FB5" w:rsidP="00C47FB5">
      <w:pPr>
        <w:pStyle w:val="Prrafodelista"/>
        <w:numPr>
          <w:ilvl w:val="0"/>
          <w:numId w:val="10"/>
        </w:numPr>
        <w:spacing w:after="0"/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</w:pPr>
      <w:r w:rsidRPr="00C47FB5">
        <w:rPr>
          <w:rFonts w:asciiTheme="minorHAnsi" w:eastAsiaTheme="minorHAnsi" w:hAnsiTheme="minorHAnsi" w:cstheme="minorHAnsi"/>
          <w:noProof w:val="0"/>
          <w:szCs w:val="22"/>
          <w:lang w:val="es-CO" w:eastAsia="en-US"/>
        </w:rPr>
        <w:t>Visita en sitio</w:t>
      </w:r>
    </w:p>
    <w:p w:rsidR="001F5C79" w:rsidRPr="001F5C79" w:rsidRDefault="001F5C79" w:rsidP="001F5C79">
      <w:pPr>
        <w:spacing w:after="0"/>
        <w:rPr>
          <w:rFonts w:cstheme="minorHAnsi"/>
          <w:color w:val="000000"/>
          <w:lang w:eastAsia="es-CO"/>
        </w:rPr>
      </w:pPr>
    </w:p>
    <w:p w:rsidR="00DA2DAD" w:rsidRDefault="00DA2DAD" w:rsidP="00DA2DAD">
      <w:pPr>
        <w:jc w:val="both"/>
      </w:pPr>
      <w:r w:rsidRPr="00EF4E6C">
        <w:t xml:space="preserve">Después de evaluadas </w:t>
      </w:r>
      <w:r w:rsidR="00D83DA2" w:rsidRPr="00EF4E6C">
        <w:t>las diferentes</w:t>
      </w:r>
      <w:r w:rsidRPr="00EF4E6C">
        <w:t xml:space="preserve"> </w:t>
      </w:r>
      <w:r>
        <w:t>propuestas</w:t>
      </w:r>
      <w:r w:rsidR="00D74317">
        <w:t xml:space="preserve"> y culminadas cada una de las fases previstas</w:t>
      </w:r>
      <w:r w:rsidRPr="00EF4E6C">
        <w:t xml:space="preserve">, el comité procede a </w:t>
      </w:r>
      <w:r w:rsidR="00D83DA2">
        <w:t>comunicar las</w:t>
      </w:r>
      <w:r>
        <w:t xml:space="preserve"> propuestas que superaron los criterios de </w:t>
      </w:r>
      <w:r w:rsidR="00E447B7">
        <w:t>evaluación, para</w:t>
      </w:r>
      <w:r>
        <w:t xml:space="preserve"> eso se tomó como referencia las propuestas que son viables </w:t>
      </w:r>
      <w:r w:rsidR="00E447B7">
        <w:t>tanto técnica</w:t>
      </w:r>
      <w:r>
        <w:t>, económica y ambiental</w:t>
      </w:r>
      <w:r w:rsidR="00D83DA2">
        <w:t xml:space="preserve">, además de cumplir cada uno de los criterios </w:t>
      </w:r>
      <w:r w:rsidR="00E447B7">
        <w:t>establecidos</w:t>
      </w:r>
      <w:r w:rsidR="00D83DA2">
        <w:t xml:space="preserve"> en la guía del solicitante</w:t>
      </w:r>
      <w:r>
        <w:t>. Quedando seleccionadas las siguientes propuestas:</w:t>
      </w:r>
    </w:p>
    <w:p w:rsidR="00DA2DAD" w:rsidRPr="000A1B10" w:rsidRDefault="00DA2DAD" w:rsidP="0045610E">
      <w:pPr>
        <w:rPr>
          <w:b/>
        </w:rPr>
      </w:pPr>
      <w:r>
        <w:rPr>
          <w:b/>
        </w:rPr>
        <w:t xml:space="preserve">Propuestas </w:t>
      </w:r>
      <w:r w:rsidRPr="000A1B10">
        <w:rPr>
          <w:b/>
        </w:rPr>
        <w:t>seleccionadas durante la convocatoria de apoyo financiero a terceros - AFT</w:t>
      </w:r>
    </w:p>
    <w:tbl>
      <w:tblPr>
        <w:tblW w:w="41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295"/>
        <w:gridCol w:w="5580"/>
      </w:tblGrid>
      <w:tr w:rsidR="00E447B7" w:rsidRPr="003E5094" w:rsidTr="0045610E">
        <w:trPr>
          <w:trHeight w:val="660"/>
          <w:jc w:val="center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Í</w:t>
            </w:r>
            <w:r w:rsidRPr="003E5094">
              <w:rPr>
                <w:rFonts w:ascii="Calibri" w:eastAsia="Times New Roman" w:hAnsi="Calibri" w:cs="Times New Roman"/>
                <w:b/>
                <w:bCs/>
                <w:lang w:eastAsia="es-CO"/>
              </w:rPr>
              <w:t>tem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b/>
                <w:bCs/>
                <w:lang w:eastAsia="es-CO"/>
              </w:rPr>
              <w:t>No Radicado</w:t>
            </w:r>
          </w:p>
        </w:tc>
        <w:tc>
          <w:tcPr>
            <w:tcW w:w="3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b/>
                <w:bCs/>
                <w:lang w:eastAsia="es-CO"/>
              </w:rPr>
              <w:t>Nombre de la Organización</w:t>
            </w:r>
          </w:p>
        </w:tc>
      </w:tr>
      <w:tr w:rsidR="00E447B7" w:rsidRPr="003E5094" w:rsidTr="0045610E">
        <w:trPr>
          <w:trHeight w:val="60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AFT0012019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Asociación de desplazados de Morale</w:t>
            </w:r>
            <w:r w:rsidRPr="00DA55A4">
              <w:rPr>
                <w:rFonts w:ascii="Calibri" w:eastAsia="Times New Roman" w:hAnsi="Calibri" w:cs="Times New Roman"/>
                <w:lang w:eastAsia="es-CO"/>
              </w:rPr>
              <w:t>s Bolívar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 LA NUEVA ESPERANZA</w:t>
            </w:r>
          </w:p>
        </w:tc>
      </w:tr>
      <w:tr w:rsidR="00E447B7" w:rsidRPr="003E5094" w:rsidTr="0045610E">
        <w:trPr>
          <w:trHeight w:val="60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AFT0082019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Asociación de apicultores de la Serranía de San </w:t>
            </w:r>
            <w:r w:rsidR="00711A5B" w:rsidRPr="003E5094">
              <w:rPr>
                <w:rFonts w:ascii="Calibri" w:eastAsia="Times New Roman" w:hAnsi="Calibri" w:cs="Times New Roman"/>
                <w:lang w:eastAsia="es-CO"/>
              </w:rPr>
              <w:t>Lucas APICOLA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 LA SERRANIA</w:t>
            </w:r>
          </w:p>
        </w:tc>
      </w:tr>
      <w:tr w:rsidR="00E447B7" w:rsidRPr="003E5094" w:rsidTr="0045610E">
        <w:trPr>
          <w:trHeight w:val="724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AFT0112019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Asociación de cañicultores</w:t>
            </w:r>
            <w:bookmarkStart w:id="0" w:name="_GoBack"/>
            <w:bookmarkEnd w:id="0"/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 del corregimiento de Villa flor ASOCAVILLA</w:t>
            </w:r>
          </w:p>
        </w:tc>
      </w:tr>
      <w:tr w:rsidR="00E447B7" w:rsidRPr="003E5094" w:rsidTr="0045610E">
        <w:trPr>
          <w:trHeight w:val="60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AFT0152019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Asociación de caficultores y productores Agropecuarios de Santa Rosa del Sur, Bolívar    -     ASOCAFE</w:t>
            </w:r>
          </w:p>
        </w:tc>
      </w:tr>
      <w:tr w:rsidR="00E447B7" w:rsidRPr="003E5094" w:rsidTr="0045610E">
        <w:trPr>
          <w:trHeight w:val="60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AFT0282019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Asociación </w:t>
            </w:r>
            <w:r w:rsidR="00711A5B" w:rsidRPr="003E5094">
              <w:rPr>
                <w:rFonts w:ascii="Calibri" w:eastAsia="Times New Roman" w:hAnsi="Calibri" w:cs="Times New Roman"/>
                <w:lang w:eastAsia="es-CO"/>
              </w:rPr>
              <w:t>de productores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 agropecuario finca villa Raquel </w:t>
            </w:r>
            <w:r w:rsidR="00711A5B" w:rsidRPr="003E5094">
              <w:rPr>
                <w:rFonts w:ascii="Calibri" w:eastAsia="Times New Roman" w:hAnsi="Calibri" w:cs="Times New Roman"/>
                <w:lang w:eastAsia="es-CO"/>
              </w:rPr>
              <w:t>- ASOPROFVR</w:t>
            </w:r>
          </w:p>
        </w:tc>
      </w:tr>
      <w:tr w:rsidR="00E447B7" w:rsidRPr="003E5094" w:rsidTr="0045610E">
        <w:trPr>
          <w:trHeight w:val="689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AFT0022019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Asociación de productores de cacao del sur de Bolívar.</w:t>
            </w:r>
            <w:r w:rsidR="00711A5B">
              <w:rPr>
                <w:rFonts w:ascii="Calibri" w:eastAsia="Times New Roman" w:hAnsi="Calibri" w:cs="Times New Roman"/>
                <w:lang w:eastAsia="es-CO"/>
              </w:rPr>
              <w:t xml:space="preserve"> 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>APROCASUR.</w:t>
            </w:r>
          </w:p>
        </w:tc>
      </w:tr>
      <w:tr w:rsidR="00E447B7" w:rsidRPr="003E5094" w:rsidTr="0045610E">
        <w:trPr>
          <w:trHeight w:val="572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AFT0212019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Asociación de </w:t>
            </w:r>
            <w:r w:rsidR="00711A5B" w:rsidRPr="003E5094">
              <w:rPr>
                <w:rFonts w:ascii="Calibri" w:eastAsia="Times New Roman" w:hAnsi="Calibri" w:cs="Times New Roman"/>
                <w:lang w:eastAsia="es-CO"/>
              </w:rPr>
              <w:t>víctimas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 por la paz y la vida digna del municipio de Simit</w:t>
            </w:r>
            <w:r w:rsidR="0045610E">
              <w:rPr>
                <w:rFonts w:ascii="Calibri" w:eastAsia="Times New Roman" w:hAnsi="Calibri" w:cs="Times New Roman"/>
                <w:lang w:eastAsia="es-CO"/>
              </w:rPr>
              <w:t>í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 - VIPAZDIG</w:t>
            </w:r>
          </w:p>
        </w:tc>
      </w:tr>
      <w:tr w:rsidR="00E447B7" w:rsidRPr="003E5094" w:rsidTr="0045610E">
        <w:trPr>
          <w:trHeight w:val="56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>
              <w:rPr>
                <w:rFonts w:ascii="Calibri" w:eastAsia="Times New Roman" w:hAnsi="Calibri" w:cs="Times New Roman"/>
                <w:lang w:eastAsia="es-CO"/>
              </w:rPr>
              <w:t>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B7" w:rsidRPr="003E5094" w:rsidRDefault="00E447B7" w:rsidP="00711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>AFT0142019</w:t>
            </w:r>
          </w:p>
        </w:tc>
        <w:tc>
          <w:tcPr>
            <w:tcW w:w="3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B7" w:rsidRPr="003E5094" w:rsidRDefault="00E447B7" w:rsidP="002F260C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3E5094">
              <w:rPr>
                <w:rFonts w:ascii="Calibri" w:eastAsia="Times New Roman" w:hAnsi="Calibri" w:cs="Times New Roman"/>
                <w:lang w:eastAsia="es-CO"/>
              </w:rPr>
              <w:t xml:space="preserve">Asociación de palmeros de San </w:t>
            </w:r>
            <w:r w:rsidR="0045610E">
              <w:rPr>
                <w:rFonts w:ascii="Calibri" w:eastAsia="Times New Roman" w:hAnsi="Calibri" w:cs="Times New Roman"/>
                <w:lang w:eastAsia="es-CO"/>
              </w:rPr>
              <w:t>P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>ablo</w:t>
            </w:r>
            <w:r w:rsidR="0045610E">
              <w:rPr>
                <w:rFonts w:ascii="Calibri" w:eastAsia="Times New Roman" w:hAnsi="Calibri" w:cs="Times New Roman"/>
                <w:lang w:eastAsia="es-CO"/>
              </w:rPr>
              <w:t xml:space="preserve">. </w:t>
            </w:r>
            <w:r w:rsidRPr="003E5094">
              <w:rPr>
                <w:rFonts w:ascii="Calibri" w:eastAsia="Times New Roman" w:hAnsi="Calibri" w:cs="Times New Roman"/>
                <w:lang w:eastAsia="es-CO"/>
              </w:rPr>
              <w:t>APALSA</w:t>
            </w:r>
          </w:p>
        </w:tc>
      </w:tr>
    </w:tbl>
    <w:p w:rsidR="00DA2DAD" w:rsidRDefault="00DA2DAD" w:rsidP="00DA2DAD">
      <w:pPr>
        <w:jc w:val="both"/>
      </w:pPr>
    </w:p>
    <w:p w:rsidR="00DA2DAD" w:rsidRDefault="00C214DF" w:rsidP="00DA2DAD">
      <w:pPr>
        <w:jc w:val="both"/>
      </w:pPr>
      <w:r>
        <w:t xml:space="preserve">Santa Rosa del Sur </w:t>
      </w:r>
      <w:r w:rsidR="008819AB">
        <w:t>7 de octubre de 2019</w:t>
      </w:r>
    </w:p>
    <w:p w:rsidR="008B6BCC" w:rsidRDefault="008B6BCC" w:rsidP="00F763EA">
      <w:pPr>
        <w:spacing w:after="0"/>
        <w:jc w:val="both"/>
        <w:rPr>
          <w:b/>
        </w:rPr>
      </w:pPr>
    </w:p>
    <w:p w:rsidR="00C214DF" w:rsidRDefault="00C214DF" w:rsidP="00F763EA">
      <w:pPr>
        <w:spacing w:after="0"/>
        <w:jc w:val="both"/>
        <w:rPr>
          <w:b/>
        </w:rPr>
      </w:pPr>
    </w:p>
    <w:p w:rsidR="00F763EA" w:rsidRDefault="00F763EA" w:rsidP="00F763EA">
      <w:pPr>
        <w:spacing w:after="0"/>
        <w:jc w:val="both"/>
        <w:rPr>
          <w:b/>
        </w:rPr>
      </w:pPr>
      <w:r>
        <w:rPr>
          <w:b/>
        </w:rPr>
        <w:t>Comité Evaluador</w:t>
      </w:r>
    </w:p>
    <w:p w:rsidR="00F763EA" w:rsidRDefault="00F763EA" w:rsidP="00F763EA">
      <w:pPr>
        <w:spacing w:after="0"/>
        <w:jc w:val="both"/>
        <w:rPr>
          <w:b/>
        </w:rPr>
      </w:pPr>
      <w:r>
        <w:rPr>
          <w:b/>
        </w:rPr>
        <w:t xml:space="preserve">Proyecto </w:t>
      </w:r>
      <w:r w:rsidR="00C214DF">
        <w:rPr>
          <w:b/>
        </w:rPr>
        <w:t>Jóvenes</w:t>
      </w:r>
      <w:r>
        <w:rPr>
          <w:b/>
        </w:rPr>
        <w:t xml:space="preserve"> Rurales</w:t>
      </w:r>
    </w:p>
    <w:sectPr w:rsidR="00F763EA" w:rsidSect="008819AB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C0" w:rsidRDefault="003C4FC0" w:rsidP="006720B5">
      <w:pPr>
        <w:spacing w:after="0" w:line="240" w:lineRule="auto"/>
      </w:pPr>
      <w:r>
        <w:separator/>
      </w:r>
    </w:p>
  </w:endnote>
  <w:endnote w:type="continuationSeparator" w:id="0">
    <w:p w:rsidR="003C4FC0" w:rsidRDefault="003C4FC0" w:rsidP="0067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C0" w:rsidRDefault="003C4FC0" w:rsidP="006720B5">
      <w:pPr>
        <w:spacing w:after="0" w:line="240" w:lineRule="auto"/>
      </w:pPr>
      <w:r>
        <w:separator/>
      </w:r>
    </w:p>
  </w:footnote>
  <w:footnote w:type="continuationSeparator" w:id="0">
    <w:p w:rsidR="003C4FC0" w:rsidRDefault="003C4FC0" w:rsidP="0067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51C9"/>
    <w:multiLevelType w:val="multilevel"/>
    <w:tmpl w:val="A092A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5ED5478"/>
    <w:multiLevelType w:val="hybridMultilevel"/>
    <w:tmpl w:val="BC743526"/>
    <w:lvl w:ilvl="0" w:tplc="45402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65420"/>
    <w:multiLevelType w:val="multilevel"/>
    <w:tmpl w:val="447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B40E8"/>
    <w:multiLevelType w:val="multilevel"/>
    <w:tmpl w:val="987E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E1167"/>
    <w:multiLevelType w:val="hybridMultilevel"/>
    <w:tmpl w:val="5D2A714A"/>
    <w:lvl w:ilvl="0" w:tplc="1AC453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26D99"/>
    <w:multiLevelType w:val="hybridMultilevel"/>
    <w:tmpl w:val="BB34723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22DBB"/>
    <w:multiLevelType w:val="multilevel"/>
    <w:tmpl w:val="E9143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E013CA3"/>
    <w:multiLevelType w:val="hybridMultilevel"/>
    <w:tmpl w:val="8D289C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559C5"/>
    <w:multiLevelType w:val="hybridMultilevel"/>
    <w:tmpl w:val="BEC2C494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93839"/>
    <w:multiLevelType w:val="hybridMultilevel"/>
    <w:tmpl w:val="D86AE814"/>
    <w:lvl w:ilvl="0" w:tplc="D7A80B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BE"/>
    <w:rsid w:val="00162416"/>
    <w:rsid w:val="00180115"/>
    <w:rsid w:val="001845BE"/>
    <w:rsid w:val="001E60A7"/>
    <w:rsid w:val="001F5C79"/>
    <w:rsid w:val="001F627E"/>
    <w:rsid w:val="002044A8"/>
    <w:rsid w:val="00225260"/>
    <w:rsid w:val="002A7095"/>
    <w:rsid w:val="00301BDF"/>
    <w:rsid w:val="00331767"/>
    <w:rsid w:val="00336AC4"/>
    <w:rsid w:val="0037200C"/>
    <w:rsid w:val="00392DE4"/>
    <w:rsid w:val="00394510"/>
    <w:rsid w:val="003A6CBE"/>
    <w:rsid w:val="003C4FC0"/>
    <w:rsid w:val="00405348"/>
    <w:rsid w:val="0045610E"/>
    <w:rsid w:val="004763A4"/>
    <w:rsid w:val="0049205D"/>
    <w:rsid w:val="004C02BC"/>
    <w:rsid w:val="005E490C"/>
    <w:rsid w:val="00614AE5"/>
    <w:rsid w:val="006720B5"/>
    <w:rsid w:val="006D7816"/>
    <w:rsid w:val="00711A5B"/>
    <w:rsid w:val="00785A99"/>
    <w:rsid w:val="007F5C50"/>
    <w:rsid w:val="00816F1C"/>
    <w:rsid w:val="00835B40"/>
    <w:rsid w:val="008819AB"/>
    <w:rsid w:val="008B6BCC"/>
    <w:rsid w:val="00951C03"/>
    <w:rsid w:val="00994C27"/>
    <w:rsid w:val="009B7C43"/>
    <w:rsid w:val="009C2984"/>
    <w:rsid w:val="009C7CC9"/>
    <w:rsid w:val="00AB39D1"/>
    <w:rsid w:val="00AF0A3C"/>
    <w:rsid w:val="00BA509E"/>
    <w:rsid w:val="00C214DF"/>
    <w:rsid w:val="00C31440"/>
    <w:rsid w:val="00C3561E"/>
    <w:rsid w:val="00C47FB5"/>
    <w:rsid w:val="00C740D5"/>
    <w:rsid w:val="00CD572C"/>
    <w:rsid w:val="00D7181A"/>
    <w:rsid w:val="00D74317"/>
    <w:rsid w:val="00D83DA2"/>
    <w:rsid w:val="00DA2DAD"/>
    <w:rsid w:val="00DA342E"/>
    <w:rsid w:val="00DD7635"/>
    <w:rsid w:val="00DE6C1B"/>
    <w:rsid w:val="00DF2ED1"/>
    <w:rsid w:val="00E34517"/>
    <w:rsid w:val="00E447B7"/>
    <w:rsid w:val="00EE1257"/>
    <w:rsid w:val="00F52026"/>
    <w:rsid w:val="00F763EA"/>
    <w:rsid w:val="00F927F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92CD-00FB-405D-96A2-EAB882F3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4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845B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1845BE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noProof/>
      <w:szCs w:val="24"/>
      <w:lang w:val="en-GB" w:eastAsia="en-GB"/>
    </w:rPr>
  </w:style>
  <w:style w:type="paragraph" w:styleId="Textonotapie">
    <w:name w:val="footnote text"/>
    <w:basedOn w:val="Normal"/>
    <w:link w:val="TextonotapieCar"/>
    <w:uiPriority w:val="99"/>
    <w:unhideWhenUsed/>
    <w:rsid w:val="006720B5"/>
    <w:pPr>
      <w:spacing w:after="0" w:line="240" w:lineRule="auto"/>
    </w:pPr>
    <w:rPr>
      <w:noProof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720B5"/>
    <w:rPr>
      <w:noProof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720B5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0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d">
    <w:name w:val="gd"/>
    <w:basedOn w:val="Fuentedeprrafopredeter"/>
    <w:rsid w:val="00BA509E"/>
  </w:style>
  <w:style w:type="character" w:styleId="Hipervnculo">
    <w:name w:val="Hyperlink"/>
    <w:basedOn w:val="Fuentedeprrafopredeter"/>
    <w:uiPriority w:val="99"/>
    <w:unhideWhenUsed/>
    <w:rsid w:val="00301BDF"/>
    <w:rPr>
      <w:color w:val="0563C1" w:themeColor="hyperlink"/>
      <w:u w:val="single"/>
    </w:rPr>
  </w:style>
  <w:style w:type="character" w:customStyle="1" w:styleId="qu">
    <w:name w:val="qu"/>
    <w:basedOn w:val="Fuentedeprrafopredeter"/>
    <w:rsid w:val="00392DE4"/>
  </w:style>
  <w:style w:type="character" w:customStyle="1" w:styleId="go">
    <w:name w:val="go"/>
    <w:basedOn w:val="Fuentedeprrafopredeter"/>
    <w:rsid w:val="00392DE4"/>
  </w:style>
  <w:style w:type="character" w:styleId="Hipervnculovisitado">
    <w:name w:val="FollowedHyperlink"/>
    <w:basedOn w:val="Fuentedeprrafopredeter"/>
    <w:uiPriority w:val="99"/>
    <w:semiHidden/>
    <w:unhideWhenUsed/>
    <w:rsid w:val="004C0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F625-60F6-4A82-9533-693ADFE4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FISCAL</dc:creator>
  <cp:keywords/>
  <dc:description/>
  <cp:lastModifiedBy>-</cp:lastModifiedBy>
  <cp:revision>5</cp:revision>
  <dcterms:created xsi:type="dcterms:W3CDTF">2019-10-07T14:05:00Z</dcterms:created>
  <dcterms:modified xsi:type="dcterms:W3CDTF">2019-10-08T13:52:00Z</dcterms:modified>
</cp:coreProperties>
</file>